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1" w:type="dxa"/>
        <w:jc w:val="center"/>
        <w:tblLayout w:type="fixed"/>
        <w:tblLook w:val="04A0" w:firstRow="1" w:lastRow="0" w:firstColumn="1" w:lastColumn="0" w:noHBand="0" w:noVBand="1"/>
      </w:tblPr>
      <w:tblGrid>
        <w:gridCol w:w="4531"/>
        <w:gridCol w:w="5670"/>
      </w:tblGrid>
      <w:tr w:rsidR="00CF37D3" w:rsidRPr="00833DD5" w:rsidTr="00C5011A">
        <w:trPr>
          <w:trHeight w:val="1065"/>
          <w:jc w:val="center"/>
        </w:trPr>
        <w:tc>
          <w:tcPr>
            <w:tcW w:w="4531" w:type="dxa"/>
            <w:tcMar>
              <w:top w:w="60" w:type="dxa"/>
              <w:left w:w="60" w:type="dxa"/>
              <w:bottom w:w="0" w:type="dxa"/>
              <w:right w:w="60" w:type="dxa"/>
            </w:tcMar>
          </w:tcPr>
          <w:p w:rsidR="00CF37D3" w:rsidRPr="00833DD5" w:rsidRDefault="00B50752" w:rsidP="00C5011A">
            <w:pPr>
              <w:spacing w:after="0" w:line="240" w:lineRule="auto"/>
              <w:ind w:hanging="60"/>
              <w:jc w:val="center"/>
              <w:rPr>
                <w:rFonts w:cs="Times New Roman"/>
                <w:szCs w:val="26"/>
              </w:rPr>
            </w:pPr>
            <w:bookmarkStart w:id="0" w:name="_GoBack"/>
            <w:bookmarkEnd w:id="0"/>
            <w:r w:rsidRPr="00833DD5">
              <w:rPr>
                <w:rFonts w:cs="Times New Roman"/>
                <w:szCs w:val="26"/>
              </w:rPr>
              <w:t xml:space="preserve">UBND </w:t>
            </w:r>
            <w:r w:rsidR="00FF268E" w:rsidRPr="00833DD5">
              <w:rPr>
                <w:rFonts w:cs="Times New Roman"/>
                <w:szCs w:val="26"/>
              </w:rPr>
              <w:t>THÀNH PHỐ HÀ NỘI</w:t>
            </w:r>
          </w:p>
          <w:p w:rsidR="00CF37D3" w:rsidRPr="00833DD5" w:rsidRDefault="00FF268E" w:rsidP="00C5011A">
            <w:pPr>
              <w:spacing w:after="0" w:line="240" w:lineRule="auto"/>
              <w:ind w:hanging="60"/>
              <w:jc w:val="center"/>
              <w:rPr>
                <w:rFonts w:cs="Times New Roman"/>
                <w:szCs w:val="26"/>
              </w:rPr>
            </w:pPr>
            <w:r w:rsidRPr="00833DD5">
              <w:rPr>
                <w:rFonts w:cs="Times New Roman"/>
                <w:b/>
                <w:szCs w:val="26"/>
              </w:rPr>
              <w:t>SỞ NÔNG NGHIỆP VÀ</w:t>
            </w:r>
            <w:r w:rsidR="00B50752" w:rsidRPr="00833DD5">
              <w:rPr>
                <w:rFonts w:cs="Times New Roman"/>
                <w:b/>
                <w:szCs w:val="26"/>
              </w:rPr>
              <w:t xml:space="preserve"> MT</w:t>
            </w:r>
          </w:p>
          <w:p w:rsidR="00CF37D3" w:rsidRPr="00833DD5" w:rsidRDefault="00B50752" w:rsidP="00C5011A">
            <w:pPr>
              <w:spacing w:before="120" w:after="0" w:line="240" w:lineRule="auto"/>
              <w:ind w:hanging="60"/>
              <w:jc w:val="center"/>
              <w:rPr>
                <w:rFonts w:cs="Times New Roman"/>
                <w:sz w:val="28"/>
                <w:szCs w:val="28"/>
              </w:rPr>
            </w:pPr>
            <w:r w:rsidRPr="00833DD5">
              <w:rPr>
                <w:rFonts w:cs="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387350</wp:posOffset>
                      </wp:positionH>
                      <wp:positionV relativeFrom="paragraph">
                        <wp:posOffset>17780</wp:posOffset>
                      </wp:positionV>
                      <wp:extent cx="1828800" cy="0"/>
                      <wp:effectExtent l="38100" t="38100" r="76200" b="9525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25A9ED"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0.5pt,1.4pt" to="1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" strokecolor="#4f81bd [3204]" strokeweight="2pt">
                      <v:shadow on="t" color="black" opacity="24903f" origin=",.5" offset="0,.55556mm"/>
                    </v:line>
                  </w:pict>
                </mc:Fallback>
              </mc:AlternateContent>
            </w:r>
            <w:r w:rsidR="00FF268E" w:rsidRPr="00833DD5">
              <w:rPr>
                <w:rFonts w:cs="Times New Roman"/>
                <w:sz w:val="28"/>
                <w:szCs w:val="28"/>
              </w:rPr>
              <w:t>Số:           /TTr-SNNMT</w:t>
            </w:r>
          </w:p>
          <w:p w:rsidR="00CF37D3" w:rsidRPr="00833DD5" w:rsidRDefault="00CF37D3" w:rsidP="00C5011A">
            <w:pPr>
              <w:spacing w:before="40" w:after="0" w:line="240" w:lineRule="auto"/>
              <w:ind w:hanging="60"/>
              <w:rPr>
                <w:rFonts w:cs="Times New Roman"/>
                <w:szCs w:val="26"/>
              </w:rPr>
            </w:pPr>
          </w:p>
        </w:tc>
        <w:tc>
          <w:tcPr>
            <w:tcW w:w="5670" w:type="dxa"/>
            <w:tcMar>
              <w:top w:w="60" w:type="dxa"/>
              <w:left w:w="60" w:type="dxa"/>
              <w:bottom w:w="0" w:type="dxa"/>
              <w:right w:w="60" w:type="dxa"/>
            </w:tcMar>
          </w:tcPr>
          <w:p w:rsidR="00CF37D3" w:rsidRPr="00833DD5" w:rsidRDefault="00FF268E" w:rsidP="00C5011A">
            <w:pPr>
              <w:spacing w:after="0" w:line="240" w:lineRule="auto"/>
              <w:ind w:hanging="60"/>
              <w:jc w:val="center"/>
              <w:rPr>
                <w:rFonts w:cs="Times New Roman"/>
                <w:szCs w:val="26"/>
              </w:rPr>
            </w:pPr>
            <w:r w:rsidRPr="00833DD5">
              <w:rPr>
                <w:rFonts w:cs="Times New Roman"/>
                <w:szCs w:val="26"/>
              </w:rPr>
              <w:t>CỘNG HÒA XÃ HỘI CHỦ NGHĨA VIỆT NAM</w:t>
            </w:r>
          </w:p>
          <w:p w:rsidR="00CF37D3" w:rsidRPr="00833DD5" w:rsidRDefault="00FF268E" w:rsidP="00C5011A">
            <w:pPr>
              <w:spacing w:after="0" w:line="240" w:lineRule="auto"/>
              <w:ind w:hanging="60"/>
              <w:jc w:val="center"/>
              <w:rPr>
                <w:rFonts w:cs="Times New Roman"/>
                <w:b/>
                <w:sz w:val="28"/>
                <w:szCs w:val="28"/>
              </w:rPr>
            </w:pPr>
            <w:r w:rsidRPr="00833DD5">
              <w:rPr>
                <w:rFonts w:cs="Times New Roman"/>
                <w:b/>
                <w:sz w:val="28"/>
                <w:szCs w:val="28"/>
              </w:rPr>
              <w:t>Độc lập - Tự do - Hạnh phúc</w:t>
            </w:r>
          </w:p>
          <w:p w:rsidR="00CF37D3" w:rsidRPr="00833DD5" w:rsidRDefault="00B50752" w:rsidP="00C5011A">
            <w:pPr>
              <w:spacing w:before="120" w:after="0" w:line="240" w:lineRule="auto"/>
              <w:ind w:hanging="60"/>
              <w:jc w:val="center"/>
              <w:rPr>
                <w:rFonts w:cs="Times New Roman"/>
                <w:szCs w:val="26"/>
              </w:rPr>
            </w:pPr>
            <w:r w:rsidRPr="00833DD5">
              <w:rPr>
                <w:rFonts w:cs="Times New Roman"/>
                <w:noProof/>
                <w:sz w:val="28"/>
                <w:szCs w:val="28"/>
              </w:rPr>
              <mc:AlternateContent>
                <mc:Choice Requires="wps">
                  <w:drawing>
                    <wp:anchor distT="0" distB="0" distL="114300" distR="114300" simplePos="0" relativeHeight="251659264" behindDoc="0" locked="0" layoutInCell="1" allowOverlap="1" wp14:anchorId="6823A70F" wp14:editId="3ACCCE68">
                      <wp:simplePos x="0" y="0"/>
                      <wp:positionH relativeFrom="column">
                        <wp:posOffset>829310</wp:posOffset>
                      </wp:positionH>
                      <wp:positionV relativeFrom="paragraph">
                        <wp:posOffset>17780</wp:posOffset>
                      </wp:positionV>
                      <wp:extent cx="182880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FD3E1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3pt,1.4pt" to="209.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" strokecolor="#4f81bd [3204]" strokeweight="2pt">
                      <v:shadow on="t" color="black" opacity="24903f" origin=",.5" offset="0,.55556mm"/>
                    </v:line>
                  </w:pict>
                </mc:Fallback>
              </mc:AlternateContent>
            </w:r>
            <w:r w:rsidR="00FF268E" w:rsidRPr="00833DD5">
              <w:rPr>
                <w:rFonts w:cs="Times New Roman"/>
                <w:i/>
                <w:sz w:val="28"/>
                <w:szCs w:val="28"/>
              </w:rPr>
              <w:t>Hà Nội, ngày      tháng      năm 2026</w:t>
            </w:r>
          </w:p>
        </w:tc>
      </w:tr>
    </w:tbl>
    <w:p w:rsidR="00CF37D3" w:rsidRPr="00C5011A" w:rsidRDefault="00CF37D3" w:rsidP="00C5011A">
      <w:pPr>
        <w:spacing w:line="240" w:lineRule="auto"/>
        <w:ind w:firstLine="567"/>
        <w:rPr>
          <w:rFonts w:cs="Times New Roman"/>
          <w:sz w:val="14"/>
          <w:szCs w:val="28"/>
        </w:rPr>
      </w:pPr>
    </w:p>
    <w:p w:rsidR="00CF37D3" w:rsidRPr="00B50752" w:rsidRDefault="00FF268E" w:rsidP="00C5011A">
      <w:pPr>
        <w:spacing w:after="120" w:line="240" w:lineRule="auto"/>
        <w:jc w:val="center"/>
        <w:rPr>
          <w:rFonts w:cs="Times New Roman"/>
          <w:sz w:val="28"/>
          <w:szCs w:val="28"/>
        </w:rPr>
      </w:pPr>
      <w:r w:rsidRPr="00B50752">
        <w:rPr>
          <w:rFonts w:cs="Times New Roman"/>
          <w:b/>
          <w:sz w:val="28"/>
          <w:szCs w:val="28"/>
        </w:rPr>
        <w:t>TỜ TRÌNH</w:t>
      </w:r>
    </w:p>
    <w:p w:rsidR="00CF37D3" w:rsidRPr="00B50752" w:rsidRDefault="00FF268E" w:rsidP="00C5011A">
      <w:pPr>
        <w:spacing w:before="60" w:after="120" w:line="240" w:lineRule="auto"/>
        <w:jc w:val="center"/>
        <w:rPr>
          <w:rFonts w:cs="Times New Roman"/>
          <w:b/>
          <w:bCs/>
          <w:iCs/>
          <w:sz w:val="28"/>
          <w:szCs w:val="28"/>
        </w:rPr>
      </w:pPr>
      <w:r w:rsidRPr="00B50752">
        <w:rPr>
          <w:rFonts w:cs="Times New Roman"/>
          <w:b/>
          <w:bCs/>
          <w:iCs/>
          <w:sz w:val="28"/>
          <w:szCs w:val="28"/>
        </w:rPr>
        <w:t>Dự thảo Nghị quyết của Hội đồng nhân dân thành phố Hà Nội</w:t>
      </w:r>
      <w:r w:rsidRPr="00B50752">
        <w:rPr>
          <w:rFonts w:cs="Times New Roman"/>
          <w:b/>
          <w:bCs/>
          <w:iCs/>
          <w:sz w:val="28"/>
          <w:szCs w:val="28"/>
        </w:rPr>
        <w:br/>
        <w:t>quy định về quản lý, bảo vệ, khai thác, sử dụng và phát triển bền vững</w:t>
      </w:r>
      <w:r w:rsidRPr="00B50752">
        <w:rPr>
          <w:rFonts w:cs="Times New Roman"/>
          <w:b/>
          <w:bCs/>
          <w:iCs/>
          <w:sz w:val="28"/>
          <w:szCs w:val="28"/>
        </w:rPr>
        <w:br/>
        <w:t>toàn bộ diện tích rừng trên địa bàn thành phố Hà Nội</w:t>
      </w:r>
    </w:p>
    <w:p w:rsidR="00C5011A" w:rsidRDefault="00C5011A" w:rsidP="00C5011A">
      <w:pPr>
        <w:spacing w:after="0" w:line="240" w:lineRule="auto"/>
        <w:jc w:val="center"/>
        <w:rPr>
          <w:rFonts w:cs="Times New Roman"/>
          <w:b/>
          <w:sz w:val="28"/>
          <w:szCs w:val="28"/>
        </w:rPr>
      </w:pPr>
    </w:p>
    <w:p w:rsidR="00CF37D3" w:rsidRPr="00B50752" w:rsidRDefault="00FF268E" w:rsidP="00C5011A">
      <w:pPr>
        <w:spacing w:after="0" w:line="240" w:lineRule="auto"/>
        <w:jc w:val="center"/>
        <w:rPr>
          <w:rFonts w:cs="Times New Roman"/>
          <w:sz w:val="28"/>
          <w:szCs w:val="28"/>
        </w:rPr>
      </w:pPr>
      <w:r w:rsidRPr="00B50752">
        <w:rPr>
          <w:rFonts w:cs="Times New Roman"/>
          <w:b/>
          <w:sz w:val="28"/>
          <w:szCs w:val="28"/>
        </w:rPr>
        <w:t xml:space="preserve">Kính gửi: </w:t>
      </w:r>
      <w:r w:rsidRPr="00B50752">
        <w:rPr>
          <w:rFonts w:cs="Times New Roman"/>
          <w:sz w:val="28"/>
          <w:szCs w:val="28"/>
        </w:rPr>
        <w:t>Ủy ban nhân dân thành phố Hà Nội.</w:t>
      </w:r>
    </w:p>
    <w:p w:rsidR="00C5011A" w:rsidRDefault="00C5011A" w:rsidP="00C5011A">
      <w:pPr>
        <w:spacing w:after="0" w:line="240" w:lineRule="auto"/>
        <w:ind w:firstLine="567"/>
        <w:jc w:val="both"/>
        <w:rPr>
          <w:rFonts w:cs="Times New Roman"/>
          <w:sz w:val="28"/>
          <w:szCs w:val="28"/>
        </w:rPr>
      </w:pPr>
    </w:p>
    <w:p w:rsidR="00CF37D3" w:rsidRPr="00B50752" w:rsidRDefault="00FF268E" w:rsidP="00C5011A">
      <w:pPr>
        <w:spacing w:after="0" w:line="240" w:lineRule="auto"/>
        <w:ind w:firstLine="567"/>
        <w:jc w:val="both"/>
        <w:rPr>
          <w:rFonts w:cs="Times New Roman"/>
          <w:sz w:val="28"/>
          <w:szCs w:val="28"/>
        </w:rPr>
      </w:pPr>
      <w:r w:rsidRPr="00B50752">
        <w:rPr>
          <w:rFonts w:cs="Times New Roman"/>
          <w:sz w:val="28"/>
          <w:szCs w:val="28"/>
        </w:rPr>
        <w:t>Thực hiện quy định của Luật Ban hành văn bản quy phạm pháp luật; trên cơ sở rà soát hồ sơ, hệ thống pháp luật hiện hành và yêu cầu hoàn thiện dự thảo, Sở Nông nghiệp và Môi trường kính trình Ủy ban nhân dân Thành phố dự thảo Nghị quyết của Hội đồng nhân dân thành phố Hà Nội quy định về quản lý, bảo vệ, khai thác, sử dụng và phát triển bền vững toàn bộ diện tích rừng trên địa bàn thành phố Hà Nội, với các nội dung chủ yếu sau đây:</w:t>
      </w:r>
    </w:p>
    <w:p w:rsidR="00CF37D3" w:rsidRPr="00B50752" w:rsidRDefault="00FF268E" w:rsidP="00C5011A">
      <w:pPr>
        <w:keepNext/>
        <w:spacing w:before="180" w:after="60" w:line="240" w:lineRule="auto"/>
        <w:ind w:firstLine="567"/>
        <w:rPr>
          <w:rFonts w:cs="Times New Roman"/>
          <w:sz w:val="28"/>
          <w:szCs w:val="28"/>
        </w:rPr>
      </w:pPr>
      <w:r w:rsidRPr="00B50752">
        <w:rPr>
          <w:rFonts w:cs="Times New Roman"/>
          <w:b/>
          <w:sz w:val="28"/>
          <w:szCs w:val="28"/>
        </w:rPr>
        <w:t>I. SỰ CẦN THIẾT BAN HÀNH NGHỊ QUYẾT</w:t>
      </w:r>
    </w:p>
    <w:p w:rsidR="00CF37D3" w:rsidRPr="00B50752" w:rsidRDefault="00FF268E" w:rsidP="00C5011A">
      <w:pPr>
        <w:spacing w:after="80" w:line="240" w:lineRule="auto"/>
        <w:ind w:firstLine="567"/>
        <w:jc w:val="both"/>
        <w:rPr>
          <w:rFonts w:cs="Times New Roman"/>
          <w:sz w:val="28"/>
          <w:szCs w:val="28"/>
        </w:rPr>
      </w:pPr>
      <w:r w:rsidRPr="00B50752">
        <w:rPr>
          <w:rFonts w:cs="Times New Roman"/>
          <w:b/>
          <w:sz w:val="28"/>
          <w:szCs w:val="28"/>
        </w:rPr>
        <w:t xml:space="preserve">1. </w:t>
      </w:r>
      <w:r w:rsidRPr="00B50752">
        <w:rPr>
          <w:rFonts w:cs="Times New Roman"/>
          <w:sz w:val="28"/>
          <w:szCs w:val="28"/>
        </w:rPr>
        <w:t>Cơ sở chính trị, pháp lý</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Luật Lâm nghiệp năm 2017 xác định Nhà nước có chính sách đầu tư và huy động nguồn lực xã hội cho hoạt động lâm nghiệp, đồng thời bảo đảm nguồn lực cho quản lý, bảo vệ và phát triển rừng đặc dụng, rừng phòng hộ. Đây là nền tảng pháp lý trực tiếp để địa phương ban hành cơ chế, chính sách hỗ trợ trong lĩnh vực lâm nghiệp.</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Nghị định số 156/2018/NĐ-CP của Chính phủ và các văn bản sửa đổi, bổ sung đã quy định khá đầy đủ các nguyên tắc, điều kiện, hồ sơ, trình tự, thủ tục, thẩm quyền chuyên ngành về quản lý, bảo vệ, khai thác, sử dụng và phát triển rừng. Qua rà soát, Sở nhận thấy không cần thiết quy định lặp lại các nội dung quản lý chuyên ngành đã được pháp luật lâm nghiệp điều chỉnh; các nội dung này được thực hiện thống nhất theo pháp luật lâm nghiệp hiện hành, trước hết là Nghị định số 156/2018/NĐ-CP.</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Nghị định số 58/2024/NĐ-CP của Chính phủ quy định một số chính sách đầu tư trong lâm nghiệp; Nghị định số 42/2026/NĐ-CP tiếp tục sửa đổi, bổ sung nhiều nội dung có liên quan trực tiếp đến chính sách cấp địa phương, nhất là đối với rừng đặc dụng, khoanh nuôi xúc tiến tái sinh tự nhiên, hỗ trợ sinh kế vùng đệm, hồ sơ ban đầu và kinh phí quản lý, kiểm tra, nghiệm thu.</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 xml:space="preserve">Luật Thủ đô số 39/2024/QH15 cho phép Hội đồng nhân dân Thành phố được quyết định chế độ, tiêu chuẩn, định mức chi đối với các nhiệm vụ chi sử dụng ngân sách Thành phố cao hơn mức quy định hoặc chưa được quy định trong văn bản của cơ quan nhà nước cấp trên khi phục vụ mục tiêu phát triển kinh tế - xã hội, bảo đảm </w:t>
      </w:r>
      <w:r w:rsidRPr="00B50752">
        <w:rPr>
          <w:rFonts w:cs="Times New Roman"/>
          <w:sz w:val="28"/>
          <w:szCs w:val="28"/>
        </w:rPr>
        <w:lastRenderedPageBreak/>
        <w:t>môi trường, an sinh, quốc phòng, an ninh, trật tự, an toàn xã hội của Thủ đô phù hợp với khả năng cân đối của ngân sách Thành phố.</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Nghị quyết số 54/2025/NQ-HĐND của Hội đồng nhân dân thành phố Hà Nội đã quy định mức chi đối với một số chính sách đầu tư trong lâm nghiệp. Qua rà soát, các chính sách, mức hỗ trợ, mức chi đã được Nghị quyết số 54/2025/NQ-HĐND quy định và còn phù hợp thì tiếp tục áp dụng; dự thảo Nghị quyết lần này chỉ bổ sung, cập nhật những nội dung còn thiếu, những nội dung mới phát sinh từ Nghị định số 42/2026/NĐ-CP và các vấn đề đặc thù của Hà Nội như du lịch sinh thái dưới tán rừng, hỗ trợ tín dụng, chuyển đổi số, sinh kế vùng đệm.</w:t>
      </w:r>
    </w:p>
    <w:p w:rsidR="00CF37D3" w:rsidRPr="00B50752" w:rsidRDefault="00FF268E" w:rsidP="00C5011A">
      <w:pPr>
        <w:spacing w:after="80" w:line="240" w:lineRule="auto"/>
        <w:ind w:firstLine="567"/>
        <w:jc w:val="both"/>
        <w:rPr>
          <w:rFonts w:cs="Times New Roman"/>
          <w:sz w:val="28"/>
          <w:szCs w:val="28"/>
        </w:rPr>
      </w:pPr>
      <w:r w:rsidRPr="00B50752">
        <w:rPr>
          <w:rFonts w:cs="Times New Roman"/>
          <w:b/>
          <w:sz w:val="28"/>
          <w:szCs w:val="28"/>
        </w:rPr>
        <w:t xml:space="preserve">2. </w:t>
      </w:r>
      <w:r w:rsidRPr="00B50752">
        <w:rPr>
          <w:rFonts w:cs="Times New Roman"/>
          <w:sz w:val="28"/>
          <w:szCs w:val="28"/>
        </w:rPr>
        <w:t>Cơ sở thực tiễn</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Theo Quyết định số 1050/QĐ-UBND ngày 11/3/2026 của Ủy ban nhân dân thành phố Hà Nội về công bố hiện trạng rừng năm 2025, toàn Thành phố có 26.589,88 ha diện tích có rừng và diện tích chưa thành rừng; trong đó diện tích rừng là 17.912,83 ha, gồm 7.615,83 ha rừng tự nhiên và 10.297,00 ha rừng trồng; tỷ lệ che phủ rừng đạt 5,33%. Mặc dù diện tích rừng không lớn so với nhiều địa phương khác, rừng Hà Nội có vai trò đặc biệt quan trọng đối với bảo vệ môi trường, điều hòa khí hậu, bảo vệ nguồn nước, phòng chống thiên tai, cảnh quan, di tích, danh lam thắng cảnh và hình thành không gian xanh của Thủ đô.</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Rừng trên địa bàn Thành phố phân bố tại nhiều xã, phần lớn là rừng trồng, nhiều khu rừng gắn với điểm du lịch, lễ hội, danh lam thắng cảnh; thành phần loài và lớp thực bì dưới tán rừng ở một số khu vực dễ bắt lửa. Giai đoạn 2020 - 2025 đã xảy ra 86 vụ cháy rừng, ảnh hưởng 99,876 ha. Thực tiễn này đòi hỏi phải duy trì lực lượng trực ngoài giờ, mua sắm, sửa chữa phương tiện, tập huấn, diễn tập, ứng dụng cảnh báo số và bố trí cơ chế hỗ trợ phù hợp hơn với điều kiện của Hà Nội.</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Qua rà soát hồ sơ hiện có, Sở nhận thấy phần lớn vướng mắc hiện nay không nằm ở thiếu quy định quản lý chuyên ngành mà nằm ở việc thiếu cơ chế hỗ trợ đồng bộ, thiếu quy định cập nhật cho nội dung mới, thiếu sự liên thông giữa chính sách hỗ trợ hiện hành với yêu cầu quản lý trên toàn bộ diện tích rừng của Thành phố.</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Đối với hoạt động kinh doanh dịch vụ du lịch sinh thái dưới tán rừng, Hà Nội có đặc thù riêng do nhiều khu rừng gắn với di tích lịch sử, danh lam thắng cảnh, du lịch văn hóa - tâm linh, giáo dục môi trường và du lịch sức khỏe. Vì vậy, nghị quyết cần bổ sung chính sách hỗ trợ có chọn lọc đối với hạng mục trực tiếp phục vụ bảo vệ rừng, bảo tồn thiên nhiên, giáo dục môi trường, vệ sinh môi trường, quản lý khách, cứu nạn, cứu hộ, phòng cháy và chữa cháy rừng và chuyển đổi số, đồng thời vẫn tuân thủ nguyên tắc quản lý, điều kiện chuyên ngành như pháp luật lâm nghiệp hiện hành.</w:t>
      </w:r>
    </w:p>
    <w:p w:rsidR="00CF37D3" w:rsidRPr="00B50752" w:rsidRDefault="00FF268E" w:rsidP="00C5011A">
      <w:pPr>
        <w:spacing w:after="80" w:line="240" w:lineRule="auto"/>
        <w:ind w:firstLine="567"/>
        <w:jc w:val="both"/>
        <w:rPr>
          <w:rFonts w:cs="Times New Roman"/>
          <w:sz w:val="28"/>
          <w:szCs w:val="28"/>
        </w:rPr>
      </w:pPr>
      <w:r w:rsidRPr="00B50752">
        <w:rPr>
          <w:rFonts w:cs="Times New Roman"/>
          <w:b/>
          <w:sz w:val="28"/>
          <w:szCs w:val="28"/>
        </w:rPr>
        <w:t xml:space="preserve">3. </w:t>
      </w:r>
      <w:r w:rsidRPr="00B50752">
        <w:rPr>
          <w:rFonts w:cs="Times New Roman"/>
          <w:sz w:val="28"/>
          <w:szCs w:val="28"/>
        </w:rPr>
        <w:t>Mục tiêu ban hành Nghị quyết</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Khẳng định việc quản lý, bảo vệ, khai thác, sử dụng và phát triển rừng trên địa bàn thành phố Hà Nội được thực hiện thống nhất theo pháp luật lâm nghiệp hiện hành, trước hết là Nghị định số 156/2018/NĐ-CP và các văn bản sửa đổi, bổ sung, thay thế.</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lastRenderedPageBreak/>
        <w:t>Kế thừa các chính sách đầu tư, mức hỗ trợ, mức chi đã được quy định tại Nghị quyết số 54/2025/NQ-HĐND và bổ sung những nội dung mới cần thiết, đúng thẩm quyền của Hội đồng nhân dân Thành phố.</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Tạo khung pháp lý đồng bộ cho hỗ trợ bảo vệ rừng, phòng cháy và chữa cháy rừng, phát triển rừng, du lịch sinh thái dưới tán rừng, hỗ trợ tín dụng, chuyển đổi số, sinh kế vùng đệm.</w:t>
      </w:r>
    </w:p>
    <w:p w:rsidR="00CF37D3" w:rsidRPr="00B50752" w:rsidRDefault="00FF268E" w:rsidP="00C5011A">
      <w:pPr>
        <w:keepNext/>
        <w:spacing w:before="180" w:after="60" w:line="240" w:lineRule="auto"/>
        <w:ind w:firstLine="567"/>
        <w:rPr>
          <w:rFonts w:cs="Times New Roman"/>
          <w:sz w:val="28"/>
          <w:szCs w:val="28"/>
        </w:rPr>
      </w:pPr>
      <w:r w:rsidRPr="00B50752">
        <w:rPr>
          <w:rFonts w:cs="Times New Roman"/>
          <w:b/>
          <w:sz w:val="28"/>
          <w:szCs w:val="28"/>
        </w:rPr>
        <w:t>II. QUAN ĐIỂM XÂY DỰNG DỰ THẢO NGHỊ QUYẾT</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1. Tên nghị quyết được chỉnh lý theo hướng bao quát toàn bộ diện tích rừng trên địa bàn Thành phố; tuy nhiên nội dung quy định cụ thể chỉ tập trung vào những vấn đề thuộc thẩm quyền của Hội đồng nhân dân Thành phố, không thiết kế một chế độ quản lý chuyên ngành riêng khác với Nghị định số 156/2018/NĐ-CP.</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2. Các nguyên tắc, điều kiện, hồ sơ, trình tự, thủ tục, thẩm quyền chuyên ngành về quản lý, bảo vệ, khai thác, sử dụng và phát triển rừng được thực hiện thống nhất theo pháp luật lâm nghiệp hiện hành; dự thảo chỉ quy định rõ phạm vi áp dụng và mối quan hệ với chính sách hỗ trợ của Thành phố.</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3. Chính sách hỗ trợ, mức hỗ trợ, mức chi đã được quy định tại Nghị quyết số 54/2025/NQ-HĐND và không trái với dự thảo Nghị quyết thì tiếp tục áp dụng; chỉ bổ sung nội dung mới theo Nghị định số 42/2026/NĐ-CP hoặc theo yêu cầu đặc thù của Hà Nội.</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4. Dự thảo phải bao quát toàn bộ diện tích rừng của Hà Nội, đồng thời bảo đảm công khai, minh bạch, đúng đối tượng, không trùng lặp với các chính sách hỗ trợ khác từ ngân sách nhà nước và phù hợp với khả năng cân đối ngân sách của Thành phố.</w:t>
      </w:r>
    </w:p>
    <w:p w:rsidR="00CF37D3" w:rsidRPr="00B50752" w:rsidRDefault="00FF268E" w:rsidP="00C5011A">
      <w:pPr>
        <w:keepNext/>
        <w:spacing w:before="180" w:after="60" w:line="240" w:lineRule="auto"/>
        <w:ind w:firstLine="567"/>
        <w:rPr>
          <w:rFonts w:cs="Times New Roman"/>
          <w:sz w:val="28"/>
          <w:szCs w:val="28"/>
        </w:rPr>
      </w:pPr>
      <w:r w:rsidRPr="00B50752">
        <w:rPr>
          <w:rFonts w:cs="Times New Roman"/>
          <w:b/>
          <w:sz w:val="28"/>
          <w:szCs w:val="28"/>
        </w:rPr>
        <w:t>III. QUÁ TRÌNH XÂY DỰNG DỰ THẢO NGHỊ QUYẾT</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1. Sở Nông nghiệp và Môi trường đã rà soát Tờ trình Sở hiện có, Dự thảo Tờ trình ban hành nghị quyết ngày 26/3/2026, ý kiến tại CV-200 của Chi cục Kiểm lâm, dự thảo Nghị quyết, Tờ trình của Ủy ban nhân dân Thành phố và Báo cáo thẩm tra đã được xây dựng trong giai đoạn trước để hoàn thiện đồng bộ toàn bộ hồ sơ về căn cứ pháp lý, nội dung chính sách và kỹ thuật trình bày.</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2. Trọng tâm hoàn thiện là: bảo đảm dự thảo không lặp lại các nội dung quản lý chuyên ngành đã được pháp luật lâm nghiệp quy định; khẳng định việc áp dụng thống nhất Nghị định số 156/2018/NĐ-CP và pháp luật lâm nghiệp hiện hành; xác lập quan hệ kế thừa giữa dự thảo Nghị quyết và Nghị quyết số 54/2025/NQ-HĐND; thống nhất lại tên nghị quyết, bố cục 12 điều và cách diễn đạt giữa tất cả các tài liệu trong hồ sơ.</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3. Sở tiếp tục tổng hợp ý kiến, hoàn thiện hồ sơ theo quy định của Luật Ban hành văn bản quy phạm pháp luật, bảo đảm tính thống nhất giữa Dự thảo Nghị quyết, Tờ trình của Sở, Tờ trình của Ủy ban nhân dân Thành phố, Báo cáo thẩm tra và các tài liệu liên quan.</w:t>
      </w:r>
    </w:p>
    <w:p w:rsidR="00CF37D3" w:rsidRPr="00B50752" w:rsidRDefault="00FF268E" w:rsidP="00C5011A">
      <w:pPr>
        <w:keepNext/>
        <w:spacing w:before="180" w:after="60" w:line="240" w:lineRule="auto"/>
        <w:ind w:firstLine="567"/>
        <w:rPr>
          <w:rFonts w:cs="Times New Roman"/>
          <w:sz w:val="28"/>
          <w:szCs w:val="28"/>
        </w:rPr>
      </w:pPr>
      <w:r w:rsidRPr="00B50752">
        <w:rPr>
          <w:rFonts w:cs="Times New Roman"/>
          <w:b/>
          <w:sz w:val="28"/>
          <w:szCs w:val="28"/>
        </w:rPr>
        <w:lastRenderedPageBreak/>
        <w:t>IV. BỐ CỤC VÀ NỘI DUNG CƠ BẢN CỦA DỰ THẢO NGHỊ QUYẾT</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1. Dự thảo Nghị quyết gồm 12 điều, trong đó:</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a) Điều 1 đến Điều 4 quy định về phạm vi điều chỉnh, đối tượng áp dụng, nguyên tắc thực hiện và các nội dung đầu tư, hỗ trợ.</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b) Điều 5 quy định về bảo vệ rừng và phòng cháy, chữa cháy rừng; Điều 6 quy định về phát triển rừng; Điều 7 quy định về đầu tư đề án du lịch sinh thái, nghỉ dưỡng, giải trí trong rừng; Điều 8 quy định về hỗ trợ tín dụng thực hiện đề án du lịch sinh thái, nghỉ dưỡng, giải trí trong rừng; Điều 9 quy định về những hoạt động mang tính chất chuyên ngành khác.</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c) Điều 10 quy định nguồn kinh phí; Điều 11 quy định tổ chức thực hiện; Điều 12 quy định hiệu lực thi hành.</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2. Nội dung cơ bản của dự thảo Nghị quyết:</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a) Khẳng định việc quản lý, bảo vệ, khai thác, sử dụng và phát triển rừng trên địa bàn thành phố Hà Nội thực hiện thống nhất theo pháp luật lâm nghiệp hiện hành; không lặp lại các điều kiện, hồ sơ, thủ tục, thẩm quyền chuyên ngành đã được pháp luật quy định.</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b) Kế thừa các chính sách, mức hỗ trợ, mức chi đã có theo Nghị quyết số 54/2025/NQ-HĐND; tiếp tục áp dụng đối với những nội dung không trái với Nghị quyết này.</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c) Bổ sung hoặc cụ thể hóa các nội dung còn thiếu, nội dung mới phát sinh và nội dung đặc thù của Hà Nội, gồm: hỗ trợ rừng sản xuất là rừng tự nhiên; hỗ trợ bổ sung cho lực lượng trực tiếp chữa cháy rừng và phục vụ chữa cháy rừng; hỗ trợ ứng dụng công nghệ số; hỗ trợ khoanh nuôi xúc tiến tái sinh tự nhiên tại rừng đặc dụng; hỗ trợ du lịch sinh thái dưới tán rừng; hỗ trợ tín dụng; hỗ trợ sinh kế vùng đệm.</w:t>
      </w:r>
    </w:p>
    <w:p w:rsidR="00CF37D3" w:rsidRPr="00B50752" w:rsidRDefault="00FF268E" w:rsidP="00C5011A">
      <w:pPr>
        <w:keepNext/>
        <w:spacing w:before="180" w:after="60" w:line="240" w:lineRule="auto"/>
        <w:ind w:firstLine="567"/>
        <w:rPr>
          <w:rFonts w:cs="Times New Roman"/>
          <w:sz w:val="28"/>
          <w:szCs w:val="28"/>
        </w:rPr>
      </w:pPr>
      <w:r w:rsidRPr="00B50752">
        <w:rPr>
          <w:rFonts w:cs="Times New Roman"/>
          <w:b/>
          <w:sz w:val="28"/>
          <w:szCs w:val="28"/>
        </w:rPr>
        <w:t>V. VỀ TÍNH HỢP HIẾN, HỢP PHÁP, TÍNH THỐNG NHẤT, TÍNH KHẢ THI VÀ ĐIỀU KIỆN BẢO ĐẢM THI HÀNH</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1. Dự thảo Nghị quyết phù hợp với Hiến pháp, Luật Lâm nghiệp, Luật Thủ đô, Luật Ngân sách nhà nước, pháp luật về bảo vệ môi trường, đầu tư công và các văn bản hướng dẫn thi hành có liên quan. Dự thảo không đặt ra cơ chế quản lý chuyên ngành mới vượt thẩm quyền của Hội đồng nhân dân Thành phố.</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2. Cách tiếp cận “quản lý như Nghị định số 156/2018/NĐ-CP; chính sách theo Nghị quyết số 54/2025/NQ-HĐND và các quy định hiện hành” làm cho hồ sơ chặt chẽ hơn về pháp lý, hạn chế trùng lặp, hạn chế nguy cơ mâu thuẫn hoặc vượt thẩm quyền, đồng thời vẫn bảo đảm có chính sách riêng cần thiết cho Hà Nội.</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3. Đối với du lịch sinh thái dưới tán rừng, dự thảo được thiết kế theo hướng thận trọng, chỉ hỗ trợ các hạng mục trực tiếp gắn với bảo vệ rừng, bảo tồn thiên nhiên, giáo dục môi trường, quản lý khách, vệ sinh môi trường, phòng cháy và chữa cháy rừng, cứu nạn, cứu hộ, hạ tầng dùng chung và chuyển đổi số; không hỗ trợ cho công trình thương mại thuần túy, nhà ở hoặc bất động sản.</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lastRenderedPageBreak/>
        <w:t>4. Về điều kiện bảo đảm thi hành, sau khi nghị quyết được ban hành, cần tiếp tục hoàn thiện văn bản hướng dẫn về hồ sơ, thủ tục, nghiệm thu, thanh quyết toán, cơ chế phối hợp với tổ chức tín dụng, cơ chế giám sát và công khai việc thực hiện chính sách.</w:t>
      </w:r>
    </w:p>
    <w:p w:rsidR="00CF37D3" w:rsidRPr="00B50752" w:rsidRDefault="00FF268E" w:rsidP="00C5011A">
      <w:pPr>
        <w:keepNext/>
        <w:spacing w:before="180" w:after="60" w:line="240" w:lineRule="auto"/>
        <w:ind w:firstLine="567"/>
        <w:rPr>
          <w:rFonts w:cs="Times New Roman"/>
          <w:sz w:val="28"/>
          <w:szCs w:val="28"/>
        </w:rPr>
      </w:pPr>
      <w:r w:rsidRPr="00B50752">
        <w:rPr>
          <w:rFonts w:cs="Times New Roman"/>
          <w:b/>
          <w:sz w:val="28"/>
          <w:szCs w:val="28"/>
        </w:rPr>
        <w:t>VI. NHỮNG NỘI DUNG KÍNH TRÌNH ỦY BAN NHÂN DÂN THÀNH PHỐ XEM XÉT</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1. Xem xét, chấp thuận hồ sơ dự thảo Nghị quyết của Hội đồng nhân dân thành phố Hà Nội quy định về quản lý, bảo vệ, khai thác, sử dụng và phát triển bền vững toàn bộ diện tích rừng trên địa bàn thành phố Hà Nội theo dự thảo kèm theo.</w:t>
      </w:r>
    </w:p>
    <w:p w:rsidR="00CF37D3" w:rsidRPr="00B50752" w:rsidRDefault="00FF268E" w:rsidP="00C5011A">
      <w:pPr>
        <w:spacing w:after="60" w:line="240" w:lineRule="auto"/>
        <w:ind w:firstLine="567"/>
        <w:jc w:val="both"/>
        <w:rPr>
          <w:rFonts w:cs="Times New Roman"/>
          <w:sz w:val="28"/>
          <w:szCs w:val="28"/>
        </w:rPr>
      </w:pPr>
      <w:r w:rsidRPr="00B50752">
        <w:rPr>
          <w:rFonts w:cs="Times New Roman"/>
          <w:sz w:val="28"/>
          <w:szCs w:val="28"/>
        </w:rPr>
        <w:t>2. Cho phép Sở Nông nghiệp và Môi trường tiếp tục phối hợp với Sở Tư pháp, Sở Tài chính, Sở Du lịch và các cơ quan liên quan hoàn thiện lần cuối hồ sơ sau rà soát pháp lý, kỹ thuật trình bày và số liệu, bảo đảm thống nhất tuyệt đối giữa Dự thảo Nghị quyết, Tờ trình của Sở, Tờ trình của Ủy ban nhân dân Thành phố, Báo cáo thẩm tra, Báo cáo đánh giá tác động, Bản thuyết minh so sánh và các tài liệu kèm theo.</w:t>
      </w:r>
    </w:p>
    <w:p w:rsidR="00CF37D3" w:rsidRDefault="00FF268E" w:rsidP="00C5011A">
      <w:pPr>
        <w:spacing w:after="60" w:line="240" w:lineRule="auto"/>
        <w:ind w:firstLine="567"/>
        <w:jc w:val="both"/>
        <w:rPr>
          <w:rFonts w:cs="Times New Roman"/>
          <w:sz w:val="28"/>
          <w:szCs w:val="28"/>
        </w:rPr>
      </w:pPr>
      <w:r w:rsidRPr="00B50752">
        <w:rPr>
          <w:rFonts w:cs="Times New Roman"/>
          <w:sz w:val="28"/>
          <w:szCs w:val="28"/>
        </w:rPr>
        <w:t>3. Trình Hội đồng nhân dân thành phố Hà Nội xem xét, thông qua dự thảo Nghị quyết tại kỳ họp gần nhất theo quy định.</w:t>
      </w:r>
    </w:p>
    <w:p w:rsidR="001636D4" w:rsidRPr="001636D4" w:rsidRDefault="001636D4" w:rsidP="00C5011A">
      <w:pPr>
        <w:spacing w:after="60" w:line="240" w:lineRule="auto"/>
        <w:ind w:firstLine="567"/>
        <w:jc w:val="both"/>
        <w:rPr>
          <w:rFonts w:cs="Times New Roman"/>
          <w:b/>
          <w:sz w:val="28"/>
          <w:szCs w:val="28"/>
        </w:rPr>
      </w:pPr>
      <w:r w:rsidRPr="001636D4">
        <w:rPr>
          <w:rFonts w:cs="Times New Roman"/>
          <w:b/>
          <w:sz w:val="28"/>
          <w:szCs w:val="28"/>
        </w:rPr>
        <w:t>VII. HỒ SƠ KÈM THEO</w:t>
      </w:r>
      <w:r w:rsidR="00ED088E">
        <w:rPr>
          <w:rFonts w:cs="Times New Roman"/>
          <w:b/>
          <w:sz w:val="28"/>
          <w:szCs w:val="28"/>
        </w:rPr>
        <w:t xml:space="preserve"> TỜ TRÌNH</w:t>
      </w:r>
    </w:p>
    <w:p w:rsidR="001636D4" w:rsidRDefault="001636D4" w:rsidP="00C5011A">
      <w:pPr>
        <w:spacing w:after="60" w:line="240" w:lineRule="auto"/>
        <w:ind w:firstLine="567"/>
        <w:jc w:val="both"/>
        <w:rPr>
          <w:rFonts w:cs="Times New Roman"/>
          <w:sz w:val="28"/>
          <w:szCs w:val="28"/>
        </w:rPr>
      </w:pPr>
      <w:r>
        <w:rPr>
          <w:rFonts w:cs="Times New Roman"/>
          <w:sz w:val="28"/>
          <w:szCs w:val="28"/>
        </w:rPr>
        <w:t>1. Dự thảo Nghị Quyết.</w:t>
      </w:r>
    </w:p>
    <w:p w:rsidR="001636D4" w:rsidRDefault="001636D4" w:rsidP="00C5011A">
      <w:pPr>
        <w:spacing w:after="60" w:line="240" w:lineRule="auto"/>
        <w:ind w:firstLine="567"/>
        <w:jc w:val="both"/>
        <w:rPr>
          <w:rFonts w:cs="Times New Roman"/>
          <w:sz w:val="28"/>
          <w:szCs w:val="28"/>
        </w:rPr>
      </w:pPr>
      <w:r>
        <w:rPr>
          <w:rFonts w:cs="Times New Roman"/>
          <w:sz w:val="28"/>
          <w:szCs w:val="28"/>
        </w:rPr>
        <w:t>2. Dự thảo Tờ trình của UBND Thành phố.</w:t>
      </w:r>
    </w:p>
    <w:p w:rsidR="001636D4" w:rsidRDefault="001636D4" w:rsidP="00C5011A">
      <w:pPr>
        <w:spacing w:after="60" w:line="240" w:lineRule="auto"/>
        <w:ind w:firstLine="567"/>
        <w:jc w:val="both"/>
        <w:rPr>
          <w:rFonts w:cs="Times New Roman"/>
          <w:sz w:val="28"/>
          <w:szCs w:val="28"/>
        </w:rPr>
      </w:pPr>
      <w:r>
        <w:rPr>
          <w:rFonts w:cs="Times New Roman"/>
          <w:sz w:val="28"/>
          <w:szCs w:val="28"/>
        </w:rPr>
        <w:t>3. Báo cáo đánh giá tác động của chính sách.</w:t>
      </w:r>
    </w:p>
    <w:p w:rsidR="001636D4" w:rsidRDefault="001636D4" w:rsidP="00C5011A">
      <w:pPr>
        <w:spacing w:after="60" w:line="240" w:lineRule="auto"/>
        <w:ind w:firstLine="567"/>
        <w:jc w:val="both"/>
        <w:rPr>
          <w:rFonts w:cs="Times New Roman"/>
          <w:sz w:val="28"/>
          <w:szCs w:val="28"/>
        </w:rPr>
      </w:pPr>
      <w:r>
        <w:rPr>
          <w:rFonts w:cs="Times New Roman"/>
          <w:sz w:val="28"/>
          <w:szCs w:val="28"/>
        </w:rPr>
        <w:t>4. Bản thuyết minh so sánh.</w:t>
      </w:r>
    </w:p>
    <w:p w:rsidR="001636D4" w:rsidRPr="001636D4" w:rsidRDefault="001636D4" w:rsidP="00C5011A">
      <w:pPr>
        <w:spacing w:after="60" w:line="240" w:lineRule="auto"/>
        <w:ind w:firstLine="567"/>
        <w:jc w:val="both"/>
        <w:rPr>
          <w:rFonts w:cs="Times New Roman"/>
          <w:sz w:val="28"/>
          <w:szCs w:val="28"/>
        </w:rPr>
      </w:pPr>
      <w:r>
        <w:rPr>
          <w:rFonts w:cs="Times New Roman"/>
          <w:sz w:val="28"/>
          <w:szCs w:val="28"/>
        </w:rPr>
        <w:t>5. Bản đánh giâ phát sinh TTHC</w:t>
      </w:r>
    </w:p>
    <w:tbl>
      <w:tblPr>
        <w:tblW w:w="0" w:type="auto"/>
        <w:jc w:val="center"/>
        <w:tblLayout w:type="fixed"/>
        <w:tblLook w:val="04A0" w:firstRow="1" w:lastRow="0" w:firstColumn="1" w:lastColumn="0" w:noHBand="0" w:noVBand="1"/>
      </w:tblPr>
      <w:tblGrid>
        <w:gridCol w:w="4702"/>
        <w:gridCol w:w="4702"/>
      </w:tblGrid>
      <w:tr w:rsidR="00CF37D3" w:rsidRPr="00B50752">
        <w:trPr>
          <w:jc w:val="center"/>
        </w:trPr>
        <w:tc>
          <w:tcPr>
            <w:tcW w:w="4702" w:type="dxa"/>
            <w:tcBorders>
              <w:top w:val="nil"/>
              <w:left w:val="nil"/>
              <w:bottom w:val="nil"/>
              <w:right w:val="nil"/>
            </w:tcBorders>
          </w:tcPr>
          <w:p w:rsidR="00CF37D3" w:rsidRPr="00B50752" w:rsidRDefault="00CF37D3" w:rsidP="00C5011A">
            <w:pPr>
              <w:spacing w:line="240" w:lineRule="auto"/>
              <w:ind w:firstLine="567"/>
              <w:rPr>
                <w:rFonts w:cs="Times New Roman"/>
                <w:sz w:val="28"/>
                <w:szCs w:val="28"/>
              </w:rPr>
            </w:pPr>
          </w:p>
          <w:p w:rsidR="00CF37D3" w:rsidRPr="00833DD5" w:rsidRDefault="00FF268E" w:rsidP="00C5011A">
            <w:pPr>
              <w:spacing w:after="0" w:line="240" w:lineRule="auto"/>
              <w:ind w:firstLine="567"/>
              <w:rPr>
                <w:rFonts w:cs="Times New Roman"/>
                <w:b/>
                <w:bCs/>
                <w:sz w:val="24"/>
                <w:szCs w:val="24"/>
              </w:rPr>
            </w:pPr>
            <w:r w:rsidRPr="00833DD5">
              <w:rPr>
                <w:rFonts w:cs="Times New Roman"/>
                <w:b/>
                <w:bCs/>
                <w:sz w:val="24"/>
                <w:szCs w:val="24"/>
              </w:rPr>
              <w:t>Nơi nhận:</w:t>
            </w:r>
          </w:p>
          <w:p w:rsidR="00CF37D3" w:rsidRPr="00833DD5" w:rsidRDefault="00FF268E" w:rsidP="00C5011A">
            <w:pPr>
              <w:spacing w:after="0" w:line="240" w:lineRule="auto"/>
              <w:ind w:firstLine="567"/>
              <w:rPr>
                <w:rFonts w:cs="Times New Roman"/>
                <w:i/>
                <w:iCs/>
                <w:sz w:val="24"/>
                <w:szCs w:val="24"/>
              </w:rPr>
            </w:pPr>
            <w:r w:rsidRPr="00833DD5">
              <w:rPr>
                <w:rFonts w:cs="Times New Roman"/>
                <w:i/>
                <w:iCs/>
                <w:sz w:val="24"/>
                <w:szCs w:val="24"/>
              </w:rPr>
              <w:t>- Như trên;</w:t>
            </w:r>
          </w:p>
          <w:p w:rsidR="00CF37D3" w:rsidRPr="00833DD5" w:rsidRDefault="00FF268E" w:rsidP="00C5011A">
            <w:pPr>
              <w:spacing w:after="0" w:line="240" w:lineRule="auto"/>
              <w:ind w:firstLine="567"/>
              <w:rPr>
                <w:rFonts w:cs="Times New Roman"/>
                <w:i/>
                <w:iCs/>
                <w:sz w:val="24"/>
                <w:szCs w:val="24"/>
              </w:rPr>
            </w:pPr>
            <w:r w:rsidRPr="00833DD5">
              <w:rPr>
                <w:rFonts w:cs="Times New Roman"/>
                <w:i/>
                <w:iCs/>
                <w:sz w:val="24"/>
                <w:szCs w:val="24"/>
              </w:rPr>
              <w:t>- Các đ/c PGĐ Sở;</w:t>
            </w:r>
          </w:p>
          <w:p w:rsidR="00CF37D3" w:rsidRPr="00833DD5" w:rsidRDefault="00FF268E" w:rsidP="00C5011A">
            <w:pPr>
              <w:spacing w:after="0" w:line="240" w:lineRule="auto"/>
              <w:ind w:firstLine="567"/>
              <w:rPr>
                <w:rFonts w:cs="Times New Roman"/>
                <w:i/>
                <w:iCs/>
                <w:sz w:val="24"/>
                <w:szCs w:val="24"/>
              </w:rPr>
            </w:pPr>
            <w:r w:rsidRPr="00833DD5">
              <w:rPr>
                <w:rFonts w:cs="Times New Roman"/>
                <w:i/>
                <w:iCs/>
                <w:sz w:val="24"/>
                <w:szCs w:val="24"/>
              </w:rPr>
              <w:t>- Sở Tư pháp (để phối hợp);</w:t>
            </w:r>
          </w:p>
          <w:p w:rsidR="00CF37D3" w:rsidRPr="00833DD5" w:rsidRDefault="00FF268E" w:rsidP="00C5011A">
            <w:pPr>
              <w:spacing w:after="0" w:line="240" w:lineRule="auto"/>
              <w:ind w:firstLine="567"/>
              <w:rPr>
                <w:rFonts w:cs="Times New Roman"/>
                <w:i/>
                <w:iCs/>
                <w:sz w:val="24"/>
                <w:szCs w:val="24"/>
              </w:rPr>
            </w:pPr>
            <w:r w:rsidRPr="00833DD5">
              <w:rPr>
                <w:rFonts w:cs="Times New Roman"/>
                <w:i/>
                <w:iCs/>
                <w:sz w:val="24"/>
                <w:szCs w:val="24"/>
              </w:rPr>
              <w:t>- Các phòng, đơn vị liên quan;</w:t>
            </w:r>
          </w:p>
          <w:p w:rsidR="00CF37D3" w:rsidRPr="00B50752" w:rsidRDefault="00FF268E" w:rsidP="00C5011A">
            <w:pPr>
              <w:spacing w:after="0" w:line="240" w:lineRule="auto"/>
              <w:ind w:firstLine="567"/>
              <w:rPr>
                <w:rFonts w:cs="Times New Roman"/>
                <w:sz w:val="28"/>
                <w:szCs w:val="28"/>
              </w:rPr>
            </w:pPr>
            <w:r w:rsidRPr="00833DD5">
              <w:rPr>
                <w:rFonts w:cs="Times New Roman"/>
                <w:i/>
                <w:iCs/>
                <w:sz w:val="24"/>
                <w:szCs w:val="24"/>
              </w:rPr>
              <w:t>- Lưu: VT, ...</w:t>
            </w:r>
          </w:p>
        </w:tc>
        <w:tc>
          <w:tcPr>
            <w:tcW w:w="4702" w:type="dxa"/>
            <w:tcBorders>
              <w:top w:val="nil"/>
              <w:left w:val="nil"/>
              <w:bottom w:val="nil"/>
              <w:right w:val="nil"/>
            </w:tcBorders>
          </w:tcPr>
          <w:p w:rsidR="00CF37D3" w:rsidRPr="00B50752" w:rsidRDefault="00CF37D3" w:rsidP="00C5011A">
            <w:pPr>
              <w:spacing w:line="240" w:lineRule="auto"/>
              <w:ind w:firstLine="567"/>
              <w:rPr>
                <w:rFonts w:cs="Times New Roman"/>
                <w:sz w:val="28"/>
                <w:szCs w:val="28"/>
              </w:rPr>
            </w:pPr>
          </w:p>
          <w:p w:rsidR="00CF37D3" w:rsidRPr="00B50752" w:rsidRDefault="00FF268E" w:rsidP="00C5011A">
            <w:pPr>
              <w:spacing w:after="0" w:line="240" w:lineRule="auto"/>
              <w:ind w:firstLine="567"/>
              <w:jc w:val="center"/>
              <w:rPr>
                <w:rFonts w:cs="Times New Roman"/>
                <w:sz w:val="28"/>
                <w:szCs w:val="28"/>
              </w:rPr>
            </w:pPr>
            <w:r w:rsidRPr="00B50752">
              <w:rPr>
                <w:rFonts w:cs="Times New Roman"/>
                <w:b/>
                <w:sz w:val="28"/>
                <w:szCs w:val="28"/>
              </w:rPr>
              <w:t>GIÁM ĐỐC</w:t>
            </w:r>
          </w:p>
          <w:p w:rsidR="00CF37D3" w:rsidRPr="00B50752" w:rsidRDefault="00FF268E" w:rsidP="00C5011A">
            <w:pPr>
              <w:spacing w:after="0" w:line="240" w:lineRule="auto"/>
              <w:ind w:firstLine="567"/>
              <w:jc w:val="center"/>
              <w:rPr>
                <w:rFonts w:cs="Times New Roman"/>
                <w:sz w:val="28"/>
                <w:szCs w:val="28"/>
              </w:rPr>
            </w:pPr>
            <w:r w:rsidRPr="00B50752">
              <w:rPr>
                <w:rFonts w:cs="Times New Roman"/>
                <w:sz w:val="28"/>
                <w:szCs w:val="28"/>
              </w:rPr>
              <w:t xml:space="preserve"> </w:t>
            </w:r>
          </w:p>
          <w:p w:rsidR="00CF37D3" w:rsidRPr="00B50752" w:rsidRDefault="00FF268E" w:rsidP="00C5011A">
            <w:pPr>
              <w:spacing w:after="0" w:line="240" w:lineRule="auto"/>
              <w:ind w:firstLine="567"/>
              <w:jc w:val="center"/>
              <w:rPr>
                <w:rFonts w:cs="Times New Roman"/>
                <w:sz w:val="28"/>
                <w:szCs w:val="28"/>
              </w:rPr>
            </w:pPr>
            <w:r w:rsidRPr="00B50752">
              <w:rPr>
                <w:rFonts w:cs="Times New Roman"/>
                <w:sz w:val="28"/>
                <w:szCs w:val="28"/>
              </w:rPr>
              <w:t xml:space="preserve"> </w:t>
            </w:r>
          </w:p>
          <w:p w:rsidR="00CF37D3" w:rsidRPr="00B50752" w:rsidRDefault="00FF268E" w:rsidP="00C5011A">
            <w:pPr>
              <w:spacing w:after="0" w:line="240" w:lineRule="auto"/>
              <w:ind w:firstLine="567"/>
              <w:jc w:val="center"/>
              <w:rPr>
                <w:rFonts w:cs="Times New Roman"/>
                <w:sz w:val="28"/>
                <w:szCs w:val="28"/>
              </w:rPr>
            </w:pPr>
            <w:r w:rsidRPr="00B50752">
              <w:rPr>
                <w:rFonts w:cs="Times New Roman"/>
                <w:sz w:val="28"/>
                <w:szCs w:val="28"/>
              </w:rPr>
              <w:t xml:space="preserve"> </w:t>
            </w:r>
          </w:p>
          <w:p w:rsidR="00CF37D3" w:rsidRPr="00B50752" w:rsidRDefault="00FF268E" w:rsidP="00C5011A">
            <w:pPr>
              <w:spacing w:after="0" w:line="240" w:lineRule="auto"/>
              <w:ind w:firstLine="567"/>
              <w:jc w:val="center"/>
              <w:rPr>
                <w:rFonts w:cs="Times New Roman"/>
                <w:sz w:val="28"/>
                <w:szCs w:val="28"/>
              </w:rPr>
            </w:pPr>
            <w:r w:rsidRPr="00B50752">
              <w:rPr>
                <w:rFonts w:cs="Times New Roman"/>
                <w:b/>
                <w:sz w:val="28"/>
                <w:szCs w:val="28"/>
              </w:rPr>
              <w:t>Bùi Duy Cường</w:t>
            </w:r>
          </w:p>
        </w:tc>
      </w:tr>
    </w:tbl>
    <w:p w:rsidR="004A0A50" w:rsidRPr="00B50752" w:rsidRDefault="004A0A50" w:rsidP="00C5011A">
      <w:pPr>
        <w:spacing w:line="240" w:lineRule="auto"/>
        <w:ind w:firstLine="567"/>
        <w:rPr>
          <w:rFonts w:cs="Times New Roman"/>
          <w:sz w:val="28"/>
          <w:szCs w:val="28"/>
        </w:rPr>
      </w:pPr>
    </w:p>
    <w:sectPr w:rsidR="004A0A50" w:rsidRPr="00B50752" w:rsidSect="0003461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A6F4D62"/>
    <w:multiLevelType w:val="hybridMultilevel"/>
    <w:tmpl w:val="243EC7AC"/>
    <w:lvl w:ilvl="0" w:tplc="24BE1A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636D4"/>
    <w:rsid w:val="0029639D"/>
    <w:rsid w:val="00326F90"/>
    <w:rsid w:val="004A0A50"/>
    <w:rsid w:val="00833D8F"/>
    <w:rsid w:val="00833DD5"/>
    <w:rsid w:val="00AA1D8D"/>
    <w:rsid w:val="00B47730"/>
    <w:rsid w:val="00B50752"/>
    <w:rsid w:val="00C5011A"/>
    <w:rsid w:val="00CB0664"/>
    <w:rsid w:val="00CE6EDA"/>
    <w:rsid w:val="00CF37D3"/>
    <w:rsid w:val="00ED088E"/>
    <w:rsid w:val="00FC693F"/>
    <w:rsid w:val="00FF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53C35CA-F65E-064F-B77B-05BC4F29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DB7F-4385-4C94-A198-27B4E313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dcterms:created xsi:type="dcterms:W3CDTF">2026-04-29T02:55:00Z</dcterms:created>
  <dcterms:modified xsi:type="dcterms:W3CDTF">2026-04-29T02:55:00Z</dcterms:modified>
  <cp:category/>
</cp:coreProperties>
</file>